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Ars Poetica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Poem should be palpable and mute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 globed fruit,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Dumb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old medallions to the thumb,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Silent as the sleeve-worn stone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casement ledges where the moss has grown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poem should be wordless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the flight of birds.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poem should be motionless in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the moon climbs,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Leaving, as the moon releases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Twig by twig the night-entangled trees,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Leaving, as the moon behind the winter eaves,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Memory by memory the mind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poem should be motionless in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the moon climbs.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poem should be equal 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 true.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all the history of grief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 empty doorway and a maple leaf.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love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leaning grasses and two lights above the sea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poem should not mean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be.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-Archibald MacLeish (1892-1982)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