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Terence, this is stupid stuff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“Terence, this is stupid stuff: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You eat your victuals fast enough;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There can’t be much amiss, ‘tis clear,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 see the rate you drink your beer.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But oh, good Lord, the verse you make,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It gives a chap a belly-ache.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cow, the old cow, she is dead;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It sleeps well the horned head: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poor lads, ‘tis our turn now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 hear such tunes as killed the cow.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Pretty friendship ‘tis to rhyme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Your friends to death before their time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Moping melancholy mad: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Come, pipe a tune to dance to, lad.”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Why, if ‘tis dancing you would be,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There’s brisker pipes than poetry.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Say, for what were hop-yards meant,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Or why was Burton built on Trent?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Oh many a peer of England brews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Livelier liquor than the Muse,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And malt does more than Milton can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 justify God’s ways to man.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Ale, man, ale’s the stuff to drink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For fellows whom it hurts to think: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Look into the pewter pot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 see the world as the world’s not.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And faith, ‘tis pleasant till ‘tis past: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mischief is that ‘twill not last.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Oh I have been to Ludlow fair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And left my necktie God knows where,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And carried half-way home, or near,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Pints and quarts of Ludlow beer: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Then the world seemed none so bad,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And I myself a sterling lad;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And down in lovely muck I’ve lain,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Happy till I woke again.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Then I saw the morning sky: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Heigho, the tale was all a lie;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world, it was the old world yet,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 was I, my things were wet,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And nothing now remained to 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But begin the game anew.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Therefore, since the world has still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Much good, but much less good than ill,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And while the sun and moon endure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Luck’s a chance, but trouble’s sure,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I’d face it as a wise man would,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And train for ill and not for good.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‘Tis true, the stuff I bring for sale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Is not so brisk a brew as ale: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Out of a stem that scored the hand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 wrung it in a weary land.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But take it: if the smack is sour,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better for the embittered hour;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It should do good to heart and head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When your soul is in my soul’s stead;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And I will friend you, if I may,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 the dark and cloudy day.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There was a king reigned in the East: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There, when kings will sit to feast,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They get their fill before they think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With poisoned meat and poisoned drink.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 gathered all that springs to birth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From the many-venomed earth;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First a little, thence to more,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 sampled all her killing store;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And easy, smiling, seasoned sound,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Sate the king when healths went round.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They put arsenic in his meat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And stared aghast to watch him eat;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They poured strychnine in his cup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And shook to see him drink it up: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They shook, they stared as white’s their shirt: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Them it was their poison hurt.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-- I tell the tale that I heard told.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Mithridates, he died old.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-A.E. Housman (1859-1936)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