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The Twa Corbies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 I was walking al alane,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heard twa corbies making a mane;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tane unto t’other say,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“Where sall we gang and dine to-day?”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“In behint yon auld fail dike,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wot there lies a new slain knight;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 naebody kens that he lies there,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But his haw, his hound, and lady fair.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“His hound is to the hunting gane,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His hawk to fetch the wild-fowl hame,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His lady’s ta’en another mate,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 we may mak our dinner sweet.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“Ye’ll sit on his white hause-bane,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 I’ll pike out his bonny blue een;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Wi’ ae lock o’ his gowden hair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We’ll theek our nest when it grows bare.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“Many a one for him makes mane,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But nane sall ken where he is gane;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O’er his white banes, when they are bare,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wind sall blaw for evermair.”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-Anonymous, c. 15th Century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